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D2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560" w:firstLineChars="800"/>
        <w:jc w:val="both"/>
        <w:textAlignment w:val="auto"/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课程AI+教学设计表</w:t>
      </w:r>
      <w:bookmarkEnd w:id="0"/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0"/>
        <w:gridCol w:w="2089"/>
        <w:gridCol w:w="1280"/>
        <w:gridCol w:w="3168"/>
      </w:tblGrid>
      <w:tr w14:paraId="3CA0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0C63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第一部分：课程基础信息</w:t>
            </w:r>
          </w:p>
        </w:tc>
      </w:tr>
      <w:tr w14:paraId="3D414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84EC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所属教研室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FF7E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4D1A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教师工号</w:t>
            </w: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4066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59D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0D04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参赛课程名称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FA5B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464B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课程性质</w:t>
            </w: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3DA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52E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45A7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授课对象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5CAC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E0C2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课程总学时/学分</w:t>
            </w: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6423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B04B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DE9D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第二部分：教材与学情分析</w:t>
            </w:r>
          </w:p>
        </w:tc>
      </w:tr>
      <w:tr w14:paraId="58106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6196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教材分析</w:t>
            </w:r>
          </w:p>
        </w:tc>
        <w:tc>
          <w:tcPr>
            <w:tcW w:w="3845" w:type="pct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E19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FF0000"/>
                <w:kern w:val="2"/>
                <w:sz w:val="24"/>
                <w:szCs w:val="24"/>
                <w:lang w:val="en-US" w:eastAsia="zh-CN" w:bidi="ar-SA"/>
              </w:rPr>
              <w:t>立足“贴近专业、贴近应用”教学改革思路，结合课程地位、知识点衔接，凸显公共基础课程服务专业育人、贴合岗位应用的育人价值。</w:t>
            </w:r>
          </w:p>
        </w:tc>
      </w:tr>
      <w:tr w14:paraId="4973E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4D33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学情分析</w:t>
            </w:r>
          </w:p>
        </w:tc>
        <w:tc>
          <w:tcPr>
            <w:tcW w:w="3845" w:type="pct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2D4B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FF0000"/>
                <w:kern w:val="2"/>
                <w:sz w:val="24"/>
                <w:szCs w:val="24"/>
                <w:lang w:val="en-US" w:eastAsia="zh-CN" w:bidi="ar-SA"/>
              </w:rPr>
              <w:t>结合“贴近专业、贴近应用”教学改革思路，分析授课学生专业特点、已有知识基础、认知能力特点，梳理学生专业岗位适配短板、课程应用能力薄弱等传统教学痛点，为 AI 差异化教学设计提供依据。</w:t>
            </w:r>
          </w:p>
        </w:tc>
      </w:tr>
      <w:tr w14:paraId="28D2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AED7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第三部分：AI+教学设计思路（重点）</w:t>
            </w:r>
          </w:p>
        </w:tc>
      </w:tr>
      <w:tr w14:paraId="23DD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4" w:hRule="atLeast"/>
        </w:trPr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2893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AI赋能教学设计思路</w:t>
            </w:r>
          </w:p>
        </w:tc>
        <w:tc>
          <w:tcPr>
            <w:tcW w:w="3845" w:type="pct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F5A2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FF0000"/>
                <w:kern w:val="2"/>
                <w:sz w:val="24"/>
                <w:szCs w:val="24"/>
                <w:lang w:val="en-US" w:eastAsia="zh-CN" w:bidi="ar-SA"/>
              </w:rPr>
              <w:t>紧扣“贴近专业、贴近应用”改革思路，结合学生专业特点、岗位应用需求，依托 AI 技术针对性破解课程教学重难点，实现基础课程与专业应用深度融合，形成易掌握、可推广、有创新的课程设计方案。（可用框图、流程图、知识图谱等形式，重点阐述为什么用AI、怎么用AI）</w:t>
            </w:r>
          </w:p>
        </w:tc>
      </w:tr>
      <w:tr w14:paraId="3526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2B48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第四部分： AI 应用知识点</w:t>
            </w:r>
          </w:p>
          <w:p w14:paraId="2C2BC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 w:val="0"/>
                <w:bCs w:val="0"/>
                <w:color w:val="FF0000"/>
                <w:kern w:val="2"/>
                <w:sz w:val="24"/>
                <w:szCs w:val="24"/>
                <w:lang w:val="en-US" w:eastAsia="zh-CN" w:bidi="ar-SA"/>
              </w:rPr>
              <w:t>说明：应用场景包含课前导学、课堂动画、课堂互动、课堂展播等反思</w:t>
            </w:r>
          </w:p>
        </w:tc>
      </w:tr>
      <w:tr w14:paraId="628A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C2B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知识点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761A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AI应用具体场景</w:t>
            </w: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72E5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AI工具</w:t>
            </w: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773D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作用</w:t>
            </w:r>
          </w:p>
        </w:tc>
      </w:tr>
      <w:tr w14:paraId="3D1A2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F80F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如：极限在***的应用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9007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如：案例选择</w:t>
            </w: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8465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如：豆包</w:t>
            </w: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46D6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收集与专业结合的应用案例</w:t>
            </w:r>
          </w:p>
        </w:tc>
      </w:tr>
      <w:tr w14:paraId="07C20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C18C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510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CE6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061D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F8A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FE60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59D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41C3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632F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C40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0DC3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第五部分：量化教学成效数据</w:t>
            </w:r>
          </w:p>
        </w:tc>
      </w:tr>
      <w:tr w14:paraId="5C45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61D4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数据类别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78BA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传统教学数据（对比基数）</w:t>
            </w: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84B6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AI+教学后数据</w:t>
            </w: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6BCB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数据佐证材料类型</w:t>
            </w:r>
          </w:p>
        </w:tc>
      </w:tr>
      <w:tr w14:paraId="67C1B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72D1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学生成绩对比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AD31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A0CF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0F07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如：期中成绩</w:t>
            </w:r>
          </w:p>
        </w:tc>
      </w:tr>
      <w:tr w14:paraId="11824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6760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学生学习兴趣对比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C848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67D6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D4C5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如：调查问卷</w:t>
            </w:r>
          </w:p>
        </w:tc>
      </w:tr>
      <w:tr w14:paraId="1EC1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43F6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难点的化解对比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A3B8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001C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9B47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如：讲解耗时节约</w:t>
            </w:r>
          </w:p>
        </w:tc>
      </w:tr>
      <w:tr w14:paraId="0A045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3A2F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教学目标达成对比</w:t>
            </w:r>
          </w:p>
        </w:tc>
        <w:tc>
          <w:tcPr>
            <w:tcW w:w="122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968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D7A7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3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B71C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如：单元测试成绩分析</w:t>
            </w:r>
          </w:p>
        </w:tc>
      </w:tr>
      <w:tr w14:paraId="61A4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9618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注：数据佐证材料：平台数据截图、学情统计表、学生问卷数据、课堂记录台账、其它具有说服力的证据。</w:t>
            </w:r>
          </w:p>
        </w:tc>
      </w:tr>
      <w:tr w14:paraId="3C8F4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DF25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第六部分：教学创新与特色亮点</w:t>
            </w:r>
          </w:p>
        </w:tc>
      </w:tr>
      <w:tr w14:paraId="69586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3A30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AI教学创新亮点</w:t>
            </w:r>
          </w:p>
        </w:tc>
        <w:tc>
          <w:tcPr>
            <w:tcW w:w="3845" w:type="pct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15F3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FF0000"/>
                <w:kern w:val="2"/>
                <w:sz w:val="24"/>
                <w:szCs w:val="24"/>
                <w:lang w:val="en-US" w:eastAsia="zh-CN" w:bidi="ar-SA"/>
              </w:rPr>
              <w:t>紧扣“贴近专业、贴近应用” 教学改革思路，结合学生专业特色、岗位应用需求，阐述课程 AI 设计特色，说明可复制、可推广的数智教学改革经验。</w:t>
            </w:r>
          </w:p>
        </w:tc>
      </w:tr>
      <w:tr w14:paraId="7B63E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4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874D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解决的传统教学痛点</w:t>
            </w:r>
          </w:p>
        </w:tc>
        <w:tc>
          <w:tcPr>
            <w:tcW w:w="3845" w:type="pct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79D6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FF0000"/>
                <w:kern w:val="2"/>
                <w:sz w:val="24"/>
                <w:szCs w:val="24"/>
                <w:lang w:val="en-US" w:eastAsia="zh-CN" w:bidi="ar-SA"/>
              </w:rPr>
              <w:t>梳理课程原有教学痛点，阐述 AI 如何破解痛点，体现 AI 融入自然、专业对接精准、应用特色鲜明、教学效果明显。</w:t>
            </w:r>
          </w:p>
        </w:tc>
      </w:tr>
    </w:tbl>
    <w:p w14:paraId="290D7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0"/>
        <w:rPr>
          <w:rFonts w:hint="eastAsia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  <w:t>说明：</w:t>
      </w:r>
    </w:p>
    <w:p w14:paraId="3DFBB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outlineLvl w:val="0"/>
        <w:rPr>
          <w:rFonts w:hint="eastAsia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  <w:t>1.该表格可调整，可附页。</w:t>
      </w:r>
    </w:p>
    <w:p w14:paraId="2EBE1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outlineLvl w:val="0"/>
        <w:rPr>
          <w:rFonts w:hint="eastAsia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  <w:t>2.所填数据真实有据。</w:t>
      </w:r>
    </w:p>
    <w:p w14:paraId="02929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outlineLvl w:val="0"/>
        <w:rPr>
          <w:rFonts w:hint="default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新宋体" w:eastAsia="仿宋_GB2312" w:cs="宋体"/>
          <w:color w:val="000000"/>
          <w:kern w:val="2"/>
          <w:sz w:val="24"/>
          <w:szCs w:val="24"/>
          <w:lang w:val="en-US" w:eastAsia="zh-CN" w:bidi="ar-SA"/>
        </w:rPr>
        <w:t>3.提交作品不得雷同。</w:t>
      </w:r>
    </w:p>
    <w:p w14:paraId="717CBA69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6485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2B48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37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2026-10-12T01:32:57Z</dcterms:created>
  <dc:creator>Administrator</dc:creator>
  <cp:lastModifiedBy>不会唱歌的鸢尾花</cp:lastModifiedBy>
  <dcterms:modified xsi:type="dcterms:W3CDTF">2026-10-12T01:33:05Z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eyJoZGlkIjoiZDA0YjJjNDU4MTUzYzZmOTFlZTY5NmMzY2IzY2YzMTgiLCJ1c2VySWQiOiIzNDg5NDk0ODUifQ==</vt:lpwstr>
  </property>
  <property fmtid="{D5CDD505-2E9C-101B-9397-08002B2CF9AE}" pid="4" name="ICV">
    <vt:lpwstr>C2AC3D6AABFD43DE9E9EA75931359391_12</vt:lpwstr>
  </property>
</Properties>
</file>